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7807" w14:textId="77777777" w:rsidR="00DA1BB5" w:rsidRPr="00DA1BB5" w:rsidRDefault="00DA1BB5" w:rsidP="00DA1BB5">
      <w:pPr>
        <w:jc w:val="center"/>
        <w:rPr>
          <w:rFonts w:asciiTheme="majorHAnsi" w:hAnsiTheme="majorHAnsi"/>
          <w:b/>
          <w:sz w:val="52"/>
        </w:rPr>
      </w:pPr>
      <w:r w:rsidRPr="00DA1BB5">
        <w:rPr>
          <w:rFonts w:asciiTheme="majorHAnsi" w:hAnsiTheme="majorHAnsi"/>
          <w:b/>
          <w:sz w:val="52"/>
        </w:rPr>
        <w:t>Council on Social Work Education</w:t>
      </w:r>
    </w:p>
    <w:p w14:paraId="63A05731" w14:textId="77777777" w:rsidR="00DA1BB5" w:rsidRPr="00DA1BB5" w:rsidRDefault="00DA1BB5" w:rsidP="00DA1BB5">
      <w:pPr>
        <w:jc w:val="center"/>
        <w:rPr>
          <w:rFonts w:asciiTheme="majorHAnsi" w:hAnsiTheme="majorHAnsi"/>
          <w:sz w:val="32"/>
        </w:rPr>
      </w:pPr>
      <w:r w:rsidRPr="00DA1BB5">
        <w:rPr>
          <w:rFonts w:asciiTheme="majorHAnsi" w:hAnsiTheme="majorHAnsi"/>
          <w:sz w:val="32"/>
        </w:rPr>
        <w:t>Educational Policy and Accreditation Standards</w:t>
      </w:r>
    </w:p>
    <w:p w14:paraId="193DEAEA" w14:textId="77777777" w:rsidR="00DA1BB5" w:rsidRPr="00DA1BB5" w:rsidRDefault="00DA1BB5" w:rsidP="00DA1BB5">
      <w:pPr>
        <w:jc w:val="center"/>
        <w:rPr>
          <w:rFonts w:asciiTheme="majorHAnsi" w:hAnsiTheme="majorHAnsi"/>
          <w:sz w:val="32"/>
        </w:rPr>
      </w:pPr>
      <w:r w:rsidRPr="00DA1BB5">
        <w:rPr>
          <w:rFonts w:asciiTheme="majorHAnsi" w:hAnsiTheme="majorHAnsi"/>
          <w:sz w:val="32"/>
        </w:rPr>
        <w:t>(EPAS-2015)</w:t>
      </w:r>
    </w:p>
    <w:p w14:paraId="7769CD00" w14:textId="77777777" w:rsidR="00DA1BB5" w:rsidRPr="00DA1BB5" w:rsidRDefault="00DA1BB5" w:rsidP="00DA1BB5">
      <w:pPr>
        <w:widowControl/>
        <w:spacing w:before="100" w:beforeAutospacing="1" w:after="100" w:afterAutospacing="1"/>
        <w:rPr>
          <w:rFonts w:asciiTheme="majorHAnsi" w:hAnsiTheme="majorHAnsi"/>
          <w:snapToGrid/>
          <w:sz w:val="20"/>
        </w:rPr>
      </w:pPr>
      <w:r w:rsidRPr="00DA1BB5">
        <w:rPr>
          <w:rFonts w:asciiTheme="majorHAnsi" w:hAnsiTheme="majorHAnsi"/>
          <w:snapToGrid/>
          <w:szCs w:val="24"/>
        </w:rPr>
        <w:t>The nine Social Work Competencies are listed below. Each competency describes the knowledge, values, skills, and cognitive and affective processes that comprise the competency at the generalist level of practice, followed by a set of behaviors that integrate these components. These behaviors represent observable components of the competencies, while the preceding statements represent the underlying content and processes that inform the behaviors. (CSWE)</w:t>
      </w:r>
    </w:p>
    <w:p w14:paraId="30EA6978" w14:textId="77777777" w:rsidR="00DA1BB5" w:rsidRPr="00DA1BB5" w:rsidRDefault="00DA1BB5" w:rsidP="00DA1BB5">
      <w:pPr>
        <w:jc w:val="center"/>
        <w:rPr>
          <w:rFonts w:asciiTheme="majorHAnsi" w:hAnsiTheme="majorHAnsi"/>
          <w:sz w:val="3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DA1BB5" w:rsidRPr="00DA1BB5" w14:paraId="08FAD8EE" w14:textId="77777777" w:rsidTr="00DA1BB5">
        <w:trPr>
          <w:tblHeader/>
        </w:trPr>
        <w:tc>
          <w:tcPr>
            <w:tcW w:w="5130" w:type="dxa"/>
            <w:shd w:val="clear" w:color="auto" w:fill="C6D9F1"/>
          </w:tcPr>
          <w:p w14:paraId="2BDCECCC" w14:textId="77777777" w:rsidR="00DA1BB5" w:rsidRPr="00DA1BB5" w:rsidRDefault="00DA1BB5" w:rsidP="00DA1BB5">
            <w:pPr>
              <w:rPr>
                <w:rFonts w:asciiTheme="majorHAnsi" w:hAnsiTheme="majorHAnsi"/>
                <w:b/>
                <w:szCs w:val="22"/>
              </w:rPr>
            </w:pPr>
            <w:r w:rsidRPr="00DA1BB5">
              <w:rPr>
                <w:rFonts w:asciiTheme="majorHAnsi" w:hAnsiTheme="majorHAnsi"/>
                <w:b/>
                <w:szCs w:val="22"/>
              </w:rPr>
              <w:t>Competency &amp; Description</w:t>
            </w:r>
          </w:p>
        </w:tc>
        <w:tc>
          <w:tcPr>
            <w:tcW w:w="4590" w:type="dxa"/>
            <w:shd w:val="clear" w:color="auto" w:fill="C6D9F1"/>
          </w:tcPr>
          <w:p w14:paraId="55751D88" w14:textId="77777777" w:rsidR="00DA1BB5" w:rsidRPr="00DA1BB5" w:rsidRDefault="00DA1BB5" w:rsidP="00DA1BB5">
            <w:pPr>
              <w:ind w:left="360"/>
              <w:rPr>
                <w:rFonts w:asciiTheme="majorHAnsi" w:hAnsiTheme="majorHAnsi"/>
                <w:b/>
                <w:szCs w:val="22"/>
              </w:rPr>
            </w:pPr>
            <w:r w:rsidRPr="00DA1BB5">
              <w:rPr>
                <w:rFonts w:asciiTheme="majorHAnsi" w:hAnsiTheme="majorHAnsi"/>
                <w:b/>
                <w:szCs w:val="22"/>
              </w:rPr>
              <w:t>Practice Behaviors</w:t>
            </w:r>
          </w:p>
        </w:tc>
      </w:tr>
      <w:tr w:rsidR="00DA1BB5" w:rsidRPr="00DA1BB5" w14:paraId="692BD071" w14:textId="77777777" w:rsidTr="00DA1BB5">
        <w:tc>
          <w:tcPr>
            <w:tcW w:w="5130" w:type="dxa"/>
          </w:tcPr>
          <w:p w14:paraId="1A60D2DE" w14:textId="77777777" w:rsidR="00DA1BB5" w:rsidRPr="00DA1BB5" w:rsidRDefault="00DA1BB5" w:rsidP="00DA1BB5">
            <w:pPr>
              <w:widowControl/>
              <w:numPr>
                <w:ilvl w:val="0"/>
                <w:numId w:val="2"/>
              </w:numPr>
              <w:ind w:left="702" w:hanging="648"/>
              <w:rPr>
                <w:rFonts w:asciiTheme="majorHAnsi" w:hAnsiTheme="majorHAnsi"/>
                <w:sz w:val="22"/>
                <w:szCs w:val="22"/>
              </w:rPr>
            </w:pPr>
            <w:r w:rsidRPr="00DA1BB5">
              <w:rPr>
                <w:rFonts w:asciiTheme="majorHAnsi" w:hAnsiTheme="majorHAnsi"/>
                <w:b/>
                <w:sz w:val="22"/>
                <w:szCs w:val="22"/>
              </w:rPr>
              <w:t>Demonst</w:t>
            </w:r>
            <w:r w:rsidR="000968BB">
              <w:rPr>
                <w:rFonts w:asciiTheme="majorHAnsi" w:hAnsiTheme="majorHAnsi"/>
                <w:b/>
                <w:sz w:val="22"/>
                <w:szCs w:val="22"/>
              </w:rPr>
              <w:t>r</w:t>
            </w:r>
            <w:r w:rsidRPr="00DA1BB5">
              <w:rPr>
                <w:rFonts w:asciiTheme="majorHAnsi" w:hAnsiTheme="majorHAnsi"/>
                <w:b/>
                <w:sz w:val="22"/>
                <w:szCs w:val="22"/>
              </w:rPr>
              <w:t>ate Ethical and Professional Behavior</w:t>
            </w:r>
          </w:p>
          <w:p w14:paraId="0F864F2A" w14:textId="77777777" w:rsidR="00DA1BB5" w:rsidRPr="00DA1BB5" w:rsidRDefault="00DA1BB5" w:rsidP="00DA1BB5">
            <w:pPr>
              <w:widowControl/>
              <w:spacing w:before="100" w:beforeAutospacing="1" w:after="100" w:afterAutospacing="1"/>
              <w:ind w:left="162"/>
              <w:rPr>
                <w:rFonts w:asciiTheme="majorHAnsi" w:hAnsiTheme="majorHAnsi"/>
                <w:snapToGrid/>
                <w:sz w:val="22"/>
                <w:szCs w:val="22"/>
              </w:rPr>
            </w:pPr>
            <w:r w:rsidRPr="00DA1BB5">
              <w:rPr>
                <w:rFonts w:asciiTheme="majorHAnsi" w:hAnsiTheme="majorHAnsi"/>
                <w:snapToGrid/>
                <w:sz w:val="22"/>
                <w:szCs w:val="22"/>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2E97C0CC" w14:textId="77777777" w:rsidR="00DA1BB5" w:rsidRDefault="00DA1BB5" w:rsidP="00DA1BB5">
            <w:pPr>
              <w:rPr>
                <w:rFonts w:asciiTheme="majorHAnsi" w:hAnsiTheme="majorHAnsi"/>
                <w:sz w:val="22"/>
                <w:szCs w:val="22"/>
              </w:rPr>
            </w:pPr>
          </w:p>
          <w:p w14:paraId="0ECC10FA" w14:textId="77777777" w:rsidR="00DA1BB5" w:rsidRDefault="00DA1BB5" w:rsidP="00DA1BB5">
            <w:pPr>
              <w:rPr>
                <w:rFonts w:asciiTheme="majorHAnsi" w:hAnsiTheme="majorHAnsi"/>
                <w:sz w:val="22"/>
                <w:szCs w:val="22"/>
              </w:rPr>
            </w:pPr>
          </w:p>
          <w:p w14:paraId="45B40982" w14:textId="77777777" w:rsidR="00DA1BB5" w:rsidRPr="00DA1BB5" w:rsidRDefault="00DA1BB5" w:rsidP="00DA1BB5">
            <w:pPr>
              <w:rPr>
                <w:rFonts w:asciiTheme="majorHAnsi" w:hAnsiTheme="majorHAnsi"/>
                <w:sz w:val="22"/>
                <w:szCs w:val="22"/>
              </w:rPr>
            </w:pPr>
          </w:p>
        </w:tc>
        <w:tc>
          <w:tcPr>
            <w:tcW w:w="4590" w:type="dxa"/>
          </w:tcPr>
          <w:p w14:paraId="26DD8D08" w14:textId="77777777" w:rsidR="00DA1BB5" w:rsidRDefault="00DA1BB5" w:rsidP="00AB2136">
            <w:pPr>
              <w:widowControl/>
              <w:rPr>
                <w:rFonts w:asciiTheme="majorHAnsi" w:hAnsiTheme="majorHAnsi"/>
                <w:snapToGrid/>
                <w:sz w:val="22"/>
                <w:szCs w:val="22"/>
              </w:rPr>
            </w:pPr>
          </w:p>
          <w:p w14:paraId="1C78265A" w14:textId="77777777" w:rsidR="00AB2136" w:rsidRPr="00DA1BB5" w:rsidRDefault="00AB2136" w:rsidP="00AB2136">
            <w:pPr>
              <w:widowControl/>
              <w:rPr>
                <w:rFonts w:asciiTheme="majorHAnsi" w:hAnsiTheme="majorHAnsi"/>
                <w:snapToGrid/>
                <w:sz w:val="22"/>
                <w:szCs w:val="22"/>
              </w:rPr>
            </w:pPr>
          </w:p>
          <w:p w14:paraId="4864183F" w14:textId="77777777" w:rsidR="00DA1BB5" w:rsidRPr="00DA1BB5" w:rsidRDefault="00DA1BB5" w:rsidP="00DA1BB5">
            <w:pPr>
              <w:widowControl/>
              <w:numPr>
                <w:ilvl w:val="0"/>
                <w:numId w:val="3"/>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make ethical decisions by applying the standards of the NASW Code of Ethics, relevant laws and regulations, models for ethical decision-making, ethical conduct of research, and additional codes of ethics as appropriate to context;</w:t>
            </w:r>
          </w:p>
          <w:p w14:paraId="430302A7" w14:textId="77777777" w:rsidR="00DA1BB5" w:rsidRPr="00DA1BB5" w:rsidRDefault="00DA1BB5" w:rsidP="00DA1BB5">
            <w:pPr>
              <w:widowControl/>
              <w:numPr>
                <w:ilvl w:val="0"/>
                <w:numId w:val="3"/>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use reflection and self-regulation to manage personal values and maintain professionalism in practice situations;</w:t>
            </w:r>
          </w:p>
          <w:p w14:paraId="65898B5F" w14:textId="77777777" w:rsidR="00DA1BB5" w:rsidRPr="00DA1BB5" w:rsidRDefault="00DA1BB5" w:rsidP="00DA1BB5">
            <w:pPr>
              <w:widowControl/>
              <w:numPr>
                <w:ilvl w:val="0"/>
                <w:numId w:val="3"/>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demonstrate professional demeanor in behavior; appearance; and oral, written, and electronic communication;</w:t>
            </w:r>
          </w:p>
          <w:p w14:paraId="68B49905" w14:textId="77777777" w:rsidR="00DA1BB5" w:rsidRPr="00DA1BB5" w:rsidRDefault="00DA1BB5" w:rsidP="00DA1BB5">
            <w:pPr>
              <w:widowControl/>
              <w:numPr>
                <w:ilvl w:val="0"/>
                <w:numId w:val="3"/>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use technology ethically and appropriately to facilitate practice outcomes; and</w:t>
            </w:r>
          </w:p>
          <w:p w14:paraId="735F4907" w14:textId="77777777" w:rsidR="00DA1BB5" w:rsidRPr="00DA1BB5" w:rsidRDefault="00DA1BB5" w:rsidP="00DA1BB5">
            <w:pPr>
              <w:widowControl/>
              <w:numPr>
                <w:ilvl w:val="0"/>
                <w:numId w:val="3"/>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use supervision and consultation to guide professional judgment and behavior.</w:t>
            </w:r>
          </w:p>
          <w:p w14:paraId="2981872F" w14:textId="77777777" w:rsidR="00DA1BB5" w:rsidRPr="00DA1BB5" w:rsidRDefault="00DA1BB5" w:rsidP="00DA1BB5">
            <w:pPr>
              <w:ind w:left="72"/>
              <w:rPr>
                <w:rFonts w:asciiTheme="majorHAnsi" w:hAnsiTheme="majorHAnsi"/>
                <w:sz w:val="22"/>
                <w:szCs w:val="22"/>
              </w:rPr>
            </w:pPr>
          </w:p>
        </w:tc>
      </w:tr>
      <w:tr w:rsidR="00DA1BB5" w:rsidRPr="00DA1BB5" w14:paraId="1D15C963" w14:textId="77777777" w:rsidTr="00DA1BB5">
        <w:tc>
          <w:tcPr>
            <w:tcW w:w="5130" w:type="dxa"/>
          </w:tcPr>
          <w:p w14:paraId="50E86BFF" w14:textId="77777777" w:rsidR="00DA1BB5" w:rsidRPr="00DA1BB5" w:rsidRDefault="00DA1BB5" w:rsidP="00DA1BB5">
            <w:pPr>
              <w:widowControl/>
              <w:numPr>
                <w:ilvl w:val="0"/>
                <w:numId w:val="2"/>
              </w:numPr>
              <w:ind w:hanging="648"/>
              <w:rPr>
                <w:rFonts w:asciiTheme="majorHAnsi" w:hAnsiTheme="majorHAnsi"/>
                <w:b/>
                <w:sz w:val="22"/>
                <w:szCs w:val="22"/>
              </w:rPr>
            </w:pPr>
            <w:r w:rsidRPr="00DA1BB5">
              <w:rPr>
                <w:rFonts w:asciiTheme="majorHAnsi" w:hAnsiTheme="majorHAnsi"/>
                <w:b/>
                <w:sz w:val="22"/>
                <w:szCs w:val="22"/>
              </w:rPr>
              <w:lastRenderedPageBreak/>
              <w:t>Engage Diversity and Difference in Practice</w:t>
            </w:r>
          </w:p>
          <w:p w14:paraId="7F83F385" w14:textId="77777777" w:rsidR="00DA1BB5" w:rsidRPr="00DA1BB5" w:rsidRDefault="00DA1BB5" w:rsidP="00DA1BB5">
            <w:pPr>
              <w:widowControl/>
              <w:spacing w:before="100" w:beforeAutospacing="1" w:after="100" w:afterAutospacing="1"/>
              <w:ind w:left="360"/>
              <w:rPr>
                <w:rFonts w:asciiTheme="majorHAnsi" w:hAnsiTheme="majorHAnsi"/>
                <w:snapToGrid/>
                <w:sz w:val="20"/>
              </w:rPr>
            </w:pPr>
            <w:r w:rsidRPr="00DA1BB5">
              <w:rPr>
                <w:rFonts w:asciiTheme="majorHAnsi" w:hAnsiTheme="majorHAnsi"/>
                <w:snapToGrid/>
                <w:sz w:val="20"/>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w:t>
            </w:r>
            <w:r w:rsidRPr="00DA1BB5">
              <w:rPr>
                <w:rFonts w:asciiTheme="majorHAnsi" w:hAnsiTheme="majorHAnsi"/>
                <w:snapToGrid/>
                <w:sz w:val="20"/>
              </w:rPr>
              <w:br/>
              <w:t>a consequence of difference, a person’s life experiences may include oppression, poverty, marginalization, and alienation as well</w:t>
            </w:r>
            <w:r w:rsidR="000968BB">
              <w:rPr>
                <w:rFonts w:asciiTheme="majorHAnsi" w:hAnsiTheme="majorHAnsi"/>
                <w:snapToGrid/>
                <w:sz w:val="20"/>
              </w:rPr>
              <w:t xml:space="preserve"> </w:t>
            </w:r>
            <w:r w:rsidRPr="00DA1BB5">
              <w:rPr>
                <w:rFonts w:asciiTheme="majorHAnsi" w:hAnsiTheme="majorHAnsi"/>
                <w:snapToGrid/>
                <w:sz w:val="20"/>
              </w:rPr>
              <w:t>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04222603" w14:textId="77777777" w:rsidR="00DA1BB5" w:rsidRDefault="00DA1BB5" w:rsidP="00DA1BB5">
            <w:pPr>
              <w:rPr>
                <w:rFonts w:asciiTheme="majorHAnsi" w:hAnsiTheme="majorHAnsi"/>
                <w:sz w:val="22"/>
                <w:szCs w:val="22"/>
              </w:rPr>
            </w:pPr>
          </w:p>
          <w:p w14:paraId="2D18FBC3" w14:textId="77777777" w:rsidR="00DA1BB5" w:rsidRPr="00DA1BB5" w:rsidRDefault="00DA1BB5" w:rsidP="00DA1BB5">
            <w:pPr>
              <w:rPr>
                <w:rFonts w:asciiTheme="majorHAnsi" w:hAnsiTheme="majorHAnsi"/>
                <w:sz w:val="22"/>
                <w:szCs w:val="22"/>
              </w:rPr>
            </w:pPr>
          </w:p>
        </w:tc>
        <w:tc>
          <w:tcPr>
            <w:tcW w:w="4590" w:type="dxa"/>
          </w:tcPr>
          <w:p w14:paraId="327F23EF" w14:textId="77777777" w:rsidR="00DA1BB5" w:rsidRDefault="00DA1BB5" w:rsidP="00DA1BB5">
            <w:pPr>
              <w:widowControl/>
              <w:spacing w:before="100" w:beforeAutospacing="1" w:after="100" w:afterAutospacing="1"/>
              <w:ind w:left="360"/>
              <w:rPr>
                <w:rFonts w:asciiTheme="majorHAnsi" w:hAnsiTheme="majorHAnsi"/>
                <w:snapToGrid/>
                <w:sz w:val="22"/>
                <w:szCs w:val="22"/>
              </w:rPr>
            </w:pPr>
          </w:p>
          <w:p w14:paraId="52925539" w14:textId="77777777" w:rsidR="00DA1BB5" w:rsidRPr="00DA1BB5" w:rsidRDefault="00DA1BB5" w:rsidP="00DA1BB5">
            <w:pPr>
              <w:widowControl/>
              <w:numPr>
                <w:ilvl w:val="0"/>
                <w:numId w:val="4"/>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apply and communicate understanding of the importance of diversity and difference in shaping life experiences in practice at the</w:t>
            </w:r>
            <w:r>
              <w:rPr>
                <w:rFonts w:asciiTheme="majorHAnsi" w:hAnsiTheme="majorHAnsi"/>
                <w:snapToGrid/>
                <w:sz w:val="22"/>
                <w:szCs w:val="22"/>
              </w:rPr>
              <w:t xml:space="preserve"> </w:t>
            </w:r>
            <w:r w:rsidRPr="00DA1BB5">
              <w:rPr>
                <w:rFonts w:asciiTheme="majorHAnsi" w:hAnsiTheme="majorHAnsi"/>
                <w:sz w:val="22"/>
                <w:szCs w:val="22"/>
              </w:rPr>
              <w:t>micro, mezzo, and macro levels;</w:t>
            </w:r>
          </w:p>
          <w:p w14:paraId="52DC5DE6" w14:textId="77777777" w:rsidR="00DA1BB5" w:rsidRPr="00DA1BB5" w:rsidRDefault="00DA1BB5" w:rsidP="00DA1BB5">
            <w:pPr>
              <w:widowControl/>
              <w:numPr>
                <w:ilvl w:val="0"/>
                <w:numId w:val="4"/>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present themselves as learners and engage clients and constituencies as experts of their own experiences; and</w:t>
            </w:r>
          </w:p>
          <w:p w14:paraId="6B0B137F" w14:textId="77777777" w:rsidR="00DA1BB5" w:rsidRPr="00DA1BB5" w:rsidRDefault="00DA1BB5" w:rsidP="00DA1BB5">
            <w:pPr>
              <w:widowControl/>
              <w:numPr>
                <w:ilvl w:val="0"/>
                <w:numId w:val="4"/>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apply self-awareness and self-regulation to manage the influence of personal biases and values in working with diverse clients and constituencies.</w:t>
            </w:r>
          </w:p>
          <w:p w14:paraId="22F7F243" w14:textId="77777777" w:rsidR="00DA1BB5" w:rsidRPr="00DA1BB5" w:rsidRDefault="00DA1BB5" w:rsidP="00DA1BB5">
            <w:pPr>
              <w:ind w:left="72"/>
              <w:rPr>
                <w:rFonts w:asciiTheme="majorHAnsi" w:hAnsiTheme="majorHAnsi"/>
                <w:sz w:val="22"/>
                <w:szCs w:val="22"/>
              </w:rPr>
            </w:pPr>
          </w:p>
        </w:tc>
      </w:tr>
      <w:tr w:rsidR="00DA1BB5" w:rsidRPr="00DA1BB5" w14:paraId="4149DA04" w14:textId="77777777" w:rsidTr="00DA1BB5">
        <w:tc>
          <w:tcPr>
            <w:tcW w:w="5130" w:type="dxa"/>
          </w:tcPr>
          <w:p w14:paraId="67DB94A8" w14:textId="77777777" w:rsidR="00DA1BB5" w:rsidRPr="00DA1BB5" w:rsidRDefault="00DA1BB5" w:rsidP="00DA1BB5">
            <w:pPr>
              <w:widowControl/>
              <w:numPr>
                <w:ilvl w:val="0"/>
                <w:numId w:val="2"/>
              </w:numPr>
              <w:ind w:left="702" w:hanging="648"/>
              <w:rPr>
                <w:rFonts w:asciiTheme="majorHAnsi" w:hAnsiTheme="majorHAnsi"/>
                <w:sz w:val="22"/>
                <w:szCs w:val="22"/>
              </w:rPr>
            </w:pPr>
            <w:r w:rsidRPr="00DA1BB5">
              <w:rPr>
                <w:rFonts w:asciiTheme="majorHAnsi" w:hAnsiTheme="majorHAnsi"/>
                <w:b/>
                <w:sz w:val="22"/>
                <w:szCs w:val="22"/>
              </w:rPr>
              <w:t>Advance Human Rights and Social, Economic, and Environmental Justice</w:t>
            </w:r>
          </w:p>
          <w:p w14:paraId="6DE2EBFC" w14:textId="77777777" w:rsidR="00DA1BB5" w:rsidRPr="00DA1BB5" w:rsidRDefault="00DA1BB5" w:rsidP="00DA1BB5">
            <w:pPr>
              <w:widowControl/>
              <w:spacing w:before="100" w:beforeAutospacing="1" w:after="100" w:afterAutospacing="1"/>
              <w:ind w:left="360"/>
              <w:rPr>
                <w:rFonts w:asciiTheme="majorHAnsi" w:hAnsiTheme="majorHAnsi"/>
                <w:snapToGrid/>
                <w:sz w:val="22"/>
                <w:szCs w:val="22"/>
              </w:rPr>
            </w:pPr>
            <w:r w:rsidRPr="00DA1BB5">
              <w:rPr>
                <w:rFonts w:asciiTheme="majorHAnsi" w:hAnsiTheme="majorHAnsi"/>
                <w:snapToGrid/>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35842586" w14:textId="77777777" w:rsidR="00DA1BB5" w:rsidRDefault="00DA1BB5" w:rsidP="00DA1BB5">
            <w:pPr>
              <w:rPr>
                <w:rFonts w:asciiTheme="majorHAnsi" w:hAnsiTheme="majorHAnsi"/>
                <w:sz w:val="22"/>
                <w:szCs w:val="22"/>
              </w:rPr>
            </w:pPr>
          </w:p>
          <w:p w14:paraId="29A04CA3" w14:textId="77777777" w:rsidR="00DA1BB5" w:rsidRDefault="00DA1BB5" w:rsidP="00DA1BB5">
            <w:pPr>
              <w:rPr>
                <w:rFonts w:asciiTheme="majorHAnsi" w:hAnsiTheme="majorHAnsi"/>
                <w:sz w:val="22"/>
                <w:szCs w:val="22"/>
              </w:rPr>
            </w:pPr>
          </w:p>
          <w:p w14:paraId="05A8E395" w14:textId="77777777" w:rsidR="00AB2136" w:rsidRDefault="00AB2136" w:rsidP="00DA1BB5">
            <w:pPr>
              <w:rPr>
                <w:rFonts w:asciiTheme="majorHAnsi" w:hAnsiTheme="majorHAnsi"/>
                <w:sz w:val="22"/>
                <w:szCs w:val="22"/>
              </w:rPr>
            </w:pPr>
          </w:p>
          <w:p w14:paraId="3B2F80DA" w14:textId="77777777" w:rsidR="00DA1BB5" w:rsidRDefault="00DA1BB5" w:rsidP="00DA1BB5">
            <w:pPr>
              <w:rPr>
                <w:rFonts w:asciiTheme="majorHAnsi" w:hAnsiTheme="majorHAnsi"/>
                <w:sz w:val="22"/>
                <w:szCs w:val="22"/>
              </w:rPr>
            </w:pPr>
          </w:p>
          <w:p w14:paraId="286F0E1A" w14:textId="77777777" w:rsidR="00DA1BB5" w:rsidRPr="00DA1BB5" w:rsidRDefault="00DA1BB5" w:rsidP="00DA1BB5">
            <w:pPr>
              <w:rPr>
                <w:rFonts w:asciiTheme="majorHAnsi" w:hAnsiTheme="majorHAnsi"/>
                <w:sz w:val="22"/>
                <w:szCs w:val="22"/>
              </w:rPr>
            </w:pPr>
          </w:p>
        </w:tc>
        <w:tc>
          <w:tcPr>
            <w:tcW w:w="4590" w:type="dxa"/>
          </w:tcPr>
          <w:p w14:paraId="477CCC4B" w14:textId="77777777" w:rsidR="00DA1BB5" w:rsidRDefault="00DA1BB5" w:rsidP="00DA1BB5">
            <w:pPr>
              <w:widowControl/>
              <w:ind w:left="360"/>
              <w:rPr>
                <w:rFonts w:asciiTheme="majorHAnsi" w:hAnsiTheme="majorHAnsi"/>
                <w:sz w:val="22"/>
                <w:szCs w:val="22"/>
              </w:rPr>
            </w:pPr>
          </w:p>
          <w:p w14:paraId="19B632B7" w14:textId="77777777" w:rsidR="00AB2136" w:rsidRPr="00DA1BB5" w:rsidRDefault="00AB2136" w:rsidP="00DA1BB5">
            <w:pPr>
              <w:widowControl/>
              <w:ind w:left="360"/>
              <w:rPr>
                <w:rFonts w:asciiTheme="majorHAnsi" w:hAnsiTheme="majorHAnsi"/>
                <w:sz w:val="22"/>
                <w:szCs w:val="22"/>
              </w:rPr>
            </w:pPr>
          </w:p>
          <w:p w14:paraId="7DC4454F" w14:textId="77777777" w:rsidR="00DA1BB5" w:rsidRPr="00DA1BB5" w:rsidRDefault="00DA1BB5" w:rsidP="00DA1BB5">
            <w:pPr>
              <w:widowControl/>
              <w:numPr>
                <w:ilvl w:val="0"/>
                <w:numId w:val="5"/>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apply their understanding of social, economic, and environmental justice to advocate for human rights at the individual and system levels; and</w:t>
            </w:r>
          </w:p>
          <w:p w14:paraId="6DA3D5B1" w14:textId="4C9E31E2" w:rsidR="00DA1BB5" w:rsidRPr="00DA1BB5" w:rsidRDefault="00DA1BB5" w:rsidP="00DA1BB5">
            <w:pPr>
              <w:widowControl/>
              <w:numPr>
                <w:ilvl w:val="0"/>
                <w:numId w:val="5"/>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 xml:space="preserve">engage in practices that advance social, economic, and environmental justice. </w:t>
            </w:r>
            <w:r w:rsidRPr="00DA1BB5" w:rsidDel="003228D0">
              <w:rPr>
                <w:rFonts w:asciiTheme="majorHAnsi" w:hAnsiTheme="majorHAnsi"/>
                <w:sz w:val="22"/>
                <w:szCs w:val="22"/>
              </w:rPr>
              <w:t xml:space="preserve"> </w:t>
            </w:r>
          </w:p>
        </w:tc>
      </w:tr>
      <w:tr w:rsidR="00DA1BB5" w:rsidRPr="00DA1BB5" w14:paraId="1EC516E4" w14:textId="77777777" w:rsidTr="00DA1BB5">
        <w:tc>
          <w:tcPr>
            <w:tcW w:w="5130" w:type="dxa"/>
          </w:tcPr>
          <w:p w14:paraId="493DA8E3" w14:textId="77777777" w:rsidR="00DA1BB5" w:rsidRPr="00DA1BB5" w:rsidRDefault="00DA1BB5" w:rsidP="00DA1BB5">
            <w:pPr>
              <w:widowControl/>
              <w:numPr>
                <w:ilvl w:val="0"/>
                <w:numId w:val="2"/>
              </w:numPr>
              <w:ind w:hanging="648"/>
              <w:rPr>
                <w:rFonts w:asciiTheme="majorHAnsi" w:hAnsiTheme="majorHAnsi"/>
                <w:b/>
                <w:sz w:val="22"/>
                <w:szCs w:val="22"/>
              </w:rPr>
            </w:pPr>
            <w:r w:rsidRPr="00DA1BB5">
              <w:rPr>
                <w:rFonts w:asciiTheme="majorHAnsi" w:hAnsiTheme="majorHAnsi"/>
                <w:b/>
                <w:sz w:val="22"/>
                <w:szCs w:val="22"/>
              </w:rPr>
              <w:t>Engage in Practice-Informed Research and Research-Informed Practice</w:t>
            </w:r>
          </w:p>
          <w:p w14:paraId="5D84F9B5" w14:textId="77777777" w:rsidR="00DA1BB5" w:rsidRPr="00DA1BB5" w:rsidRDefault="00DA1BB5" w:rsidP="00DA1BB5">
            <w:pPr>
              <w:widowControl/>
              <w:spacing w:before="100" w:beforeAutospacing="1" w:after="100" w:afterAutospacing="1"/>
              <w:ind w:left="360"/>
              <w:rPr>
                <w:rFonts w:asciiTheme="majorHAnsi" w:hAnsiTheme="majorHAnsi"/>
                <w:snapToGrid/>
                <w:sz w:val="22"/>
                <w:szCs w:val="22"/>
              </w:rPr>
            </w:pPr>
            <w:r w:rsidRPr="00DA1BB5">
              <w:rPr>
                <w:rFonts w:asciiTheme="majorHAnsi" w:hAnsiTheme="majorHAnsi"/>
                <w:snapToGrid/>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516C8E83" w14:textId="77777777" w:rsidR="00DA1BB5" w:rsidRPr="00DA1BB5" w:rsidRDefault="00DA1BB5" w:rsidP="00DA1BB5">
            <w:pPr>
              <w:rPr>
                <w:rFonts w:asciiTheme="majorHAnsi" w:hAnsiTheme="majorHAnsi"/>
                <w:sz w:val="22"/>
                <w:szCs w:val="22"/>
              </w:rPr>
            </w:pPr>
          </w:p>
        </w:tc>
        <w:tc>
          <w:tcPr>
            <w:tcW w:w="4590" w:type="dxa"/>
          </w:tcPr>
          <w:p w14:paraId="4CA417CC" w14:textId="77777777" w:rsidR="00DA1BB5" w:rsidRDefault="00DA1BB5" w:rsidP="00DA1BB5">
            <w:pPr>
              <w:ind w:left="72"/>
              <w:rPr>
                <w:rFonts w:asciiTheme="majorHAnsi" w:hAnsiTheme="majorHAnsi"/>
                <w:sz w:val="22"/>
                <w:szCs w:val="22"/>
              </w:rPr>
            </w:pPr>
          </w:p>
          <w:p w14:paraId="4E31CFA4" w14:textId="77777777" w:rsidR="00AB2136" w:rsidRPr="00DA1BB5" w:rsidRDefault="00AB2136" w:rsidP="00DA1BB5">
            <w:pPr>
              <w:ind w:left="72"/>
              <w:rPr>
                <w:rFonts w:asciiTheme="majorHAnsi" w:hAnsiTheme="majorHAnsi"/>
                <w:sz w:val="22"/>
                <w:szCs w:val="22"/>
              </w:rPr>
            </w:pPr>
          </w:p>
          <w:p w14:paraId="67F79AF2"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use practice experience and theory to inform scientific inquiry and research;</w:t>
            </w:r>
          </w:p>
          <w:p w14:paraId="210023FC"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apply critical thinking to engage in analysis of quantitative and qualitative research methods and research findings; and</w:t>
            </w:r>
          </w:p>
          <w:p w14:paraId="1D714DDF" w14:textId="77777777" w:rsidR="00DA1BB5" w:rsidRPr="00DA1BB5" w:rsidRDefault="00DA1BB5" w:rsidP="00DA1BB5">
            <w:pPr>
              <w:widowControl/>
              <w:numPr>
                <w:ilvl w:val="0"/>
                <w:numId w:val="1"/>
              </w:numPr>
              <w:rPr>
                <w:rFonts w:asciiTheme="majorHAnsi" w:hAnsiTheme="majorHAnsi"/>
                <w:sz w:val="22"/>
                <w:szCs w:val="22"/>
              </w:rPr>
            </w:pPr>
            <w:r w:rsidRPr="00DA1BB5">
              <w:rPr>
                <w:rFonts w:asciiTheme="majorHAnsi" w:hAnsiTheme="majorHAnsi"/>
                <w:snapToGrid/>
                <w:sz w:val="22"/>
                <w:szCs w:val="22"/>
              </w:rPr>
              <w:t>use and translate research evidence to inform and improve practice, policy, and service delivery.</w:t>
            </w:r>
          </w:p>
        </w:tc>
      </w:tr>
      <w:tr w:rsidR="00DA1BB5" w:rsidRPr="00DA1BB5" w14:paraId="1E5DD3A8" w14:textId="77777777" w:rsidTr="00DA1BB5">
        <w:tc>
          <w:tcPr>
            <w:tcW w:w="5130" w:type="dxa"/>
          </w:tcPr>
          <w:p w14:paraId="0A0BE91F" w14:textId="77777777" w:rsidR="00DA1BB5" w:rsidRPr="00DA1BB5" w:rsidRDefault="00DA1BB5" w:rsidP="00DA1BB5">
            <w:pPr>
              <w:widowControl/>
              <w:numPr>
                <w:ilvl w:val="0"/>
                <w:numId w:val="2"/>
              </w:numPr>
              <w:ind w:hanging="720"/>
              <w:rPr>
                <w:rFonts w:asciiTheme="majorHAnsi" w:hAnsiTheme="majorHAnsi"/>
                <w:b/>
                <w:sz w:val="22"/>
                <w:szCs w:val="22"/>
              </w:rPr>
            </w:pPr>
            <w:r w:rsidRPr="00DA1BB5">
              <w:rPr>
                <w:rFonts w:asciiTheme="majorHAnsi" w:hAnsiTheme="majorHAnsi"/>
                <w:b/>
                <w:sz w:val="22"/>
                <w:szCs w:val="22"/>
              </w:rPr>
              <w:t>Engage in Policy Practice</w:t>
            </w:r>
          </w:p>
          <w:p w14:paraId="05FAF7E6" w14:textId="77777777" w:rsidR="00DA1BB5" w:rsidRPr="00DA1BB5" w:rsidRDefault="00DA1BB5" w:rsidP="00DA1BB5">
            <w:pPr>
              <w:widowControl/>
              <w:spacing w:before="100" w:beforeAutospacing="1" w:after="100" w:afterAutospacing="1"/>
              <w:ind w:left="360"/>
              <w:rPr>
                <w:rFonts w:asciiTheme="majorHAnsi" w:hAnsiTheme="majorHAnsi"/>
                <w:snapToGrid/>
                <w:sz w:val="22"/>
                <w:szCs w:val="22"/>
              </w:rPr>
            </w:pPr>
            <w:r w:rsidRPr="00DA1BB5">
              <w:rPr>
                <w:rFonts w:asciiTheme="majorHAnsi" w:hAnsiTheme="majorHAnsi"/>
                <w:snapToGrid/>
                <w:sz w:val="22"/>
                <w:szCs w:val="22"/>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w:t>
            </w:r>
            <w:r w:rsidR="000968BB">
              <w:rPr>
                <w:rFonts w:asciiTheme="majorHAnsi" w:hAnsiTheme="majorHAnsi"/>
                <w:snapToGrid/>
                <w:sz w:val="22"/>
                <w:szCs w:val="22"/>
              </w:rPr>
              <w:t xml:space="preserve"> </w:t>
            </w:r>
            <w:r w:rsidRPr="00DA1BB5">
              <w:rPr>
                <w:rFonts w:asciiTheme="majorHAnsi" w:hAnsiTheme="majorHAnsi"/>
                <w:snapToGrid/>
                <w:sz w:val="22"/>
                <w:szCs w:val="22"/>
              </w:rPr>
              <w:t>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0804D76C" w14:textId="77777777" w:rsidR="00DA1BB5" w:rsidRPr="00DA1BB5" w:rsidRDefault="00DA1BB5" w:rsidP="00DA1BB5">
            <w:pPr>
              <w:rPr>
                <w:rFonts w:asciiTheme="majorHAnsi" w:hAnsiTheme="majorHAnsi"/>
                <w:sz w:val="32"/>
                <w:szCs w:val="22"/>
              </w:rPr>
            </w:pPr>
          </w:p>
        </w:tc>
        <w:tc>
          <w:tcPr>
            <w:tcW w:w="4590" w:type="dxa"/>
          </w:tcPr>
          <w:p w14:paraId="3CC90BCC" w14:textId="77777777" w:rsidR="00DA1BB5" w:rsidRPr="00DA1BB5" w:rsidRDefault="00DA1BB5" w:rsidP="00DA1BB5">
            <w:pPr>
              <w:ind w:left="72"/>
              <w:rPr>
                <w:rFonts w:asciiTheme="majorHAnsi" w:hAnsiTheme="majorHAnsi"/>
                <w:sz w:val="22"/>
                <w:szCs w:val="22"/>
              </w:rPr>
            </w:pPr>
          </w:p>
          <w:p w14:paraId="07D6687B"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Identify social policy at the local, state, and federal level that impacts well-being, service delivery, and access to social services;</w:t>
            </w:r>
          </w:p>
          <w:p w14:paraId="4772E238"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assess how social welfare and economic policies impact the delivery of and access to social services;</w:t>
            </w:r>
          </w:p>
          <w:p w14:paraId="1D5D4647" w14:textId="77777777" w:rsidR="00DA1BB5" w:rsidRPr="00DA1BB5" w:rsidRDefault="00DA1BB5" w:rsidP="00DA1BB5">
            <w:pPr>
              <w:widowControl/>
              <w:numPr>
                <w:ilvl w:val="0"/>
                <w:numId w:val="1"/>
              </w:numPr>
              <w:rPr>
                <w:rFonts w:asciiTheme="majorHAnsi" w:hAnsiTheme="majorHAnsi"/>
                <w:sz w:val="22"/>
                <w:szCs w:val="22"/>
              </w:rPr>
            </w:pPr>
            <w:r w:rsidRPr="00DA1BB5">
              <w:rPr>
                <w:rFonts w:asciiTheme="majorHAnsi" w:hAnsiTheme="majorHAnsi"/>
                <w:snapToGrid/>
                <w:sz w:val="22"/>
                <w:szCs w:val="22"/>
              </w:rPr>
              <w:t>apply critical thinking to analyze, formulate, and advocate for policies that advance human rights and social, economic, and environmental justice.</w:t>
            </w:r>
          </w:p>
        </w:tc>
      </w:tr>
      <w:tr w:rsidR="00DA1BB5" w:rsidRPr="00DA1BB5" w14:paraId="5E6BB634" w14:textId="77777777" w:rsidTr="00DA1BB5">
        <w:tc>
          <w:tcPr>
            <w:tcW w:w="5130" w:type="dxa"/>
          </w:tcPr>
          <w:p w14:paraId="108DA0E9" w14:textId="77777777" w:rsidR="00DA1BB5" w:rsidRPr="00DA1BB5" w:rsidRDefault="00DA1BB5" w:rsidP="00DA1BB5">
            <w:pPr>
              <w:widowControl/>
              <w:numPr>
                <w:ilvl w:val="0"/>
                <w:numId w:val="2"/>
              </w:numPr>
              <w:ind w:hanging="720"/>
              <w:rPr>
                <w:rFonts w:asciiTheme="majorHAnsi" w:hAnsiTheme="majorHAnsi"/>
                <w:b/>
                <w:sz w:val="22"/>
                <w:szCs w:val="22"/>
              </w:rPr>
            </w:pPr>
            <w:r w:rsidRPr="00DA1BB5">
              <w:rPr>
                <w:rFonts w:asciiTheme="majorHAnsi" w:hAnsiTheme="majorHAnsi"/>
                <w:b/>
                <w:sz w:val="22"/>
                <w:szCs w:val="22"/>
              </w:rPr>
              <w:t>Engage Individuals, Families, Groups, Organizations, and Communities</w:t>
            </w:r>
          </w:p>
          <w:p w14:paraId="2462CC0F" w14:textId="77777777" w:rsidR="00DA1BB5" w:rsidRPr="00DA1BB5" w:rsidRDefault="00DA1BB5" w:rsidP="00DA1BB5">
            <w:pPr>
              <w:widowControl/>
              <w:spacing w:before="100" w:beforeAutospacing="1" w:after="100" w:afterAutospacing="1"/>
              <w:ind w:left="360"/>
              <w:rPr>
                <w:rFonts w:asciiTheme="majorHAnsi" w:hAnsiTheme="majorHAnsi"/>
                <w:snapToGrid/>
                <w:sz w:val="22"/>
                <w:szCs w:val="22"/>
              </w:rPr>
            </w:pPr>
            <w:r w:rsidRPr="00DA1BB5">
              <w:rPr>
                <w:rFonts w:asciiTheme="majorHAnsi" w:hAnsiTheme="majorHAnsi"/>
                <w:snapToGrid/>
                <w:sz w:val="22"/>
                <w:szCs w:val="22"/>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7D3B24E0" w14:textId="77777777" w:rsidR="00DA1BB5" w:rsidRPr="00DA1BB5" w:rsidRDefault="00DA1BB5" w:rsidP="00DA1BB5">
            <w:pPr>
              <w:rPr>
                <w:rFonts w:asciiTheme="majorHAnsi" w:hAnsiTheme="majorHAnsi"/>
                <w:sz w:val="32"/>
                <w:szCs w:val="22"/>
              </w:rPr>
            </w:pPr>
          </w:p>
        </w:tc>
        <w:tc>
          <w:tcPr>
            <w:tcW w:w="4590" w:type="dxa"/>
          </w:tcPr>
          <w:p w14:paraId="6102A5E0" w14:textId="77777777" w:rsidR="00DA1BB5" w:rsidRDefault="00DA1BB5" w:rsidP="00DA1BB5">
            <w:pPr>
              <w:ind w:left="72"/>
              <w:rPr>
                <w:rFonts w:asciiTheme="majorHAnsi" w:hAnsiTheme="majorHAnsi"/>
                <w:sz w:val="22"/>
                <w:szCs w:val="22"/>
              </w:rPr>
            </w:pPr>
          </w:p>
          <w:p w14:paraId="3DA26FFF" w14:textId="77777777" w:rsidR="00AB2136" w:rsidRPr="00DA1BB5" w:rsidRDefault="00AB2136" w:rsidP="00DA1BB5">
            <w:pPr>
              <w:ind w:left="72"/>
              <w:rPr>
                <w:rFonts w:asciiTheme="majorHAnsi" w:hAnsiTheme="majorHAnsi"/>
                <w:sz w:val="22"/>
                <w:szCs w:val="22"/>
              </w:rPr>
            </w:pPr>
          </w:p>
          <w:p w14:paraId="1BAF5983"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apply knowledge of human behavior and the social environment, person-in-environment, and other multidisciplinary theoretical frameworks to engage with clients and constituencies; and</w:t>
            </w:r>
          </w:p>
          <w:p w14:paraId="3109C232" w14:textId="77777777" w:rsidR="00DA1BB5" w:rsidRPr="00DA1BB5" w:rsidRDefault="00DA1BB5" w:rsidP="00DA1BB5">
            <w:pPr>
              <w:widowControl/>
              <w:numPr>
                <w:ilvl w:val="0"/>
                <w:numId w:val="1"/>
              </w:numPr>
              <w:rPr>
                <w:rFonts w:asciiTheme="majorHAnsi" w:hAnsiTheme="majorHAnsi"/>
                <w:sz w:val="22"/>
                <w:szCs w:val="22"/>
              </w:rPr>
            </w:pPr>
            <w:r w:rsidRPr="00DA1BB5">
              <w:rPr>
                <w:rFonts w:asciiTheme="majorHAnsi" w:hAnsiTheme="majorHAnsi"/>
                <w:snapToGrid/>
                <w:sz w:val="22"/>
                <w:szCs w:val="22"/>
              </w:rPr>
              <w:t>use empathy, reflection, and interpersonal skills to effectively engage diverse clients and constituencies.</w:t>
            </w:r>
          </w:p>
        </w:tc>
      </w:tr>
      <w:tr w:rsidR="00DA1BB5" w:rsidRPr="00DA1BB5" w14:paraId="5F02F6E7" w14:textId="77777777" w:rsidTr="00DA1BB5">
        <w:tc>
          <w:tcPr>
            <w:tcW w:w="5130" w:type="dxa"/>
          </w:tcPr>
          <w:p w14:paraId="6539D203" w14:textId="77777777" w:rsidR="00DA1BB5" w:rsidRPr="00DA1BB5" w:rsidRDefault="00DA1BB5" w:rsidP="00DA1BB5">
            <w:pPr>
              <w:widowControl/>
              <w:numPr>
                <w:ilvl w:val="0"/>
                <w:numId w:val="2"/>
              </w:numPr>
              <w:ind w:hanging="720"/>
              <w:rPr>
                <w:rFonts w:asciiTheme="majorHAnsi" w:hAnsiTheme="majorHAnsi"/>
                <w:b/>
                <w:sz w:val="22"/>
                <w:szCs w:val="22"/>
              </w:rPr>
            </w:pPr>
            <w:r w:rsidRPr="00DA1BB5">
              <w:rPr>
                <w:rFonts w:asciiTheme="majorHAnsi" w:hAnsiTheme="majorHAnsi"/>
                <w:b/>
                <w:sz w:val="22"/>
                <w:szCs w:val="22"/>
              </w:rPr>
              <w:t>Assess Individuals, Families, Groups, Organizations, and Communities</w:t>
            </w:r>
          </w:p>
          <w:p w14:paraId="763AB738" w14:textId="77777777" w:rsidR="00DA1BB5" w:rsidRPr="00DA1BB5" w:rsidRDefault="00DA1BB5" w:rsidP="00DA1BB5">
            <w:pPr>
              <w:widowControl/>
              <w:spacing w:before="100" w:beforeAutospacing="1" w:after="100" w:afterAutospacing="1"/>
              <w:ind w:left="360"/>
              <w:rPr>
                <w:rFonts w:asciiTheme="majorHAnsi" w:hAnsiTheme="majorHAnsi"/>
                <w:snapToGrid/>
                <w:sz w:val="22"/>
                <w:szCs w:val="22"/>
              </w:rPr>
            </w:pPr>
            <w:r w:rsidRPr="00DA1BB5">
              <w:rPr>
                <w:rFonts w:asciiTheme="majorHAnsi" w:hAnsiTheme="majorHAnsi"/>
                <w:snapToGrid/>
                <w:sz w:val="22"/>
                <w:szCs w:val="22"/>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4593E265" w14:textId="77777777" w:rsidR="00DA1BB5" w:rsidRDefault="00DA1BB5" w:rsidP="00DA1BB5">
            <w:pPr>
              <w:rPr>
                <w:rFonts w:asciiTheme="majorHAnsi" w:hAnsiTheme="majorHAnsi"/>
                <w:sz w:val="32"/>
                <w:szCs w:val="22"/>
              </w:rPr>
            </w:pPr>
          </w:p>
          <w:p w14:paraId="55610AB1" w14:textId="77777777" w:rsidR="00AB2136" w:rsidRPr="00DA1BB5" w:rsidRDefault="00AB2136" w:rsidP="00DA1BB5">
            <w:pPr>
              <w:rPr>
                <w:rFonts w:asciiTheme="majorHAnsi" w:hAnsiTheme="majorHAnsi"/>
                <w:sz w:val="32"/>
                <w:szCs w:val="22"/>
              </w:rPr>
            </w:pPr>
          </w:p>
        </w:tc>
        <w:tc>
          <w:tcPr>
            <w:tcW w:w="4590" w:type="dxa"/>
          </w:tcPr>
          <w:p w14:paraId="06E40584" w14:textId="77777777" w:rsidR="00DA1BB5" w:rsidRPr="00DA1BB5" w:rsidRDefault="00DA1BB5" w:rsidP="00DA1BB5">
            <w:pPr>
              <w:ind w:left="72"/>
              <w:rPr>
                <w:rFonts w:asciiTheme="majorHAnsi" w:hAnsiTheme="majorHAnsi"/>
                <w:sz w:val="22"/>
                <w:szCs w:val="22"/>
              </w:rPr>
            </w:pPr>
          </w:p>
          <w:p w14:paraId="74B44AED"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collect and organize data, and apply critical thinking to interpret information from clients and constituencies;</w:t>
            </w:r>
          </w:p>
          <w:p w14:paraId="43AB6C38"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apply knowledge of human behavior and the social environment, person-in-environment, and other multidisciplinary theoretical frameworks in the analysis of assessment data from clients and constituencies;</w:t>
            </w:r>
          </w:p>
          <w:p w14:paraId="22637F94"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develop mutually agreed-on intervention goals and objectives based on the critical assessment of strengths, needs, and challenges within clients and constituencies; and</w:t>
            </w:r>
          </w:p>
          <w:p w14:paraId="5E22256F" w14:textId="77777777" w:rsidR="00DA1BB5" w:rsidRPr="00DA1BB5" w:rsidRDefault="00DA1BB5" w:rsidP="00DA1BB5">
            <w:pPr>
              <w:widowControl/>
              <w:numPr>
                <w:ilvl w:val="0"/>
                <w:numId w:val="1"/>
              </w:numPr>
              <w:rPr>
                <w:rFonts w:asciiTheme="majorHAnsi" w:hAnsiTheme="majorHAnsi"/>
                <w:sz w:val="22"/>
                <w:szCs w:val="22"/>
              </w:rPr>
            </w:pPr>
            <w:r w:rsidRPr="00DA1BB5">
              <w:rPr>
                <w:rFonts w:asciiTheme="majorHAnsi" w:hAnsiTheme="majorHAnsi"/>
                <w:snapToGrid/>
                <w:sz w:val="22"/>
                <w:szCs w:val="22"/>
              </w:rPr>
              <w:t>select appropriate intervention strategies based on the assessment, research knowledge, and values and preferences of clients and constituencies.</w:t>
            </w:r>
          </w:p>
        </w:tc>
      </w:tr>
      <w:tr w:rsidR="00DA1BB5" w:rsidRPr="00DA1BB5" w14:paraId="5A944A6B" w14:textId="77777777" w:rsidTr="00DA1BB5">
        <w:tc>
          <w:tcPr>
            <w:tcW w:w="5130" w:type="dxa"/>
          </w:tcPr>
          <w:p w14:paraId="0FC6E51F" w14:textId="77777777" w:rsidR="00AB2136" w:rsidRDefault="00DA1BB5" w:rsidP="00DA1BB5">
            <w:pPr>
              <w:widowControl/>
              <w:numPr>
                <w:ilvl w:val="0"/>
                <w:numId w:val="2"/>
              </w:numPr>
              <w:ind w:hanging="720"/>
              <w:rPr>
                <w:rFonts w:asciiTheme="majorHAnsi" w:hAnsiTheme="majorHAnsi"/>
                <w:b/>
                <w:sz w:val="22"/>
                <w:szCs w:val="22"/>
              </w:rPr>
            </w:pPr>
            <w:r w:rsidRPr="00DA1BB5">
              <w:rPr>
                <w:rFonts w:asciiTheme="majorHAnsi" w:hAnsiTheme="majorHAnsi"/>
                <w:b/>
                <w:sz w:val="22"/>
                <w:szCs w:val="22"/>
              </w:rPr>
              <w:t>Intervene with Individuals, Families, Groups, Organizations, and Communities</w:t>
            </w:r>
          </w:p>
          <w:p w14:paraId="5C508AA3" w14:textId="77777777" w:rsidR="00AB2136" w:rsidRPr="00AB2136" w:rsidRDefault="00AB2136" w:rsidP="00AB2136">
            <w:pPr>
              <w:widowControl/>
              <w:rPr>
                <w:rFonts w:asciiTheme="majorHAnsi" w:hAnsiTheme="majorHAnsi"/>
                <w:b/>
                <w:sz w:val="22"/>
                <w:szCs w:val="22"/>
              </w:rPr>
            </w:pPr>
          </w:p>
          <w:p w14:paraId="18E367C8" w14:textId="77777777" w:rsidR="00DA1BB5" w:rsidRPr="00DA1BB5" w:rsidRDefault="00DA1BB5" w:rsidP="00AB2136">
            <w:pPr>
              <w:ind w:left="342"/>
              <w:rPr>
                <w:rFonts w:asciiTheme="majorHAnsi" w:hAnsiTheme="majorHAnsi"/>
                <w:snapToGrid/>
                <w:sz w:val="18"/>
                <w:szCs w:val="18"/>
              </w:rPr>
            </w:pPr>
            <w:r w:rsidRPr="00DA1BB5">
              <w:rPr>
                <w:rFonts w:asciiTheme="majorHAnsi" w:hAnsiTheme="majorHAnsi"/>
                <w:snapToGrid/>
                <w:sz w:val="22"/>
                <w:szCs w:val="22"/>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w:t>
            </w:r>
            <w:bookmarkStart w:id="0" w:name="_GoBack"/>
            <w:bookmarkEnd w:id="0"/>
            <w:r w:rsidRPr="00DA1BB5">
              <w:rPr>
                <w:rFonts w:asciiTheme="majorHAnsi" w:hAnsiTheme="majorHAnsi"/>
                <w:snapToGrid/>
                <w:sz w:val="22"/>
                <w:szCs w:val="22"/>
              </w:rPr>
              <w:t>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w:t>
            </w:r>
            <w:r w:rsidRPr="00DA1BB5">
              <w:rPr>
                <w:rFonts w:asciiTheme="majorHAnsi" w:hAnsiTheme="majorHAnsi"/>
                <w:snapToGrid/>
                <w:sz w:val="18"/>
                <w:szCs w:val="18"/>
              </w:rPr>
              <w:t>.</w:t>
            </w:r>
          </w:p>
          <w:p w14:paraId="671131F4" w14:textId="77777777" w:rsidR="00DA1BB5" w:rsidRPr="00DA1BB5" w:rsidRDefault="00DA1BB5" w:rsidP="00DA1BB5">
            <w:pPr>
              <w:rPr>
                <w:rFonts w:asciiTheme="majorHAnsi" w:hAnsiTheme="majorHAnsi"/>
                <w:sz w:val="40"/>
                <w:szCs w:val="22"/>
              </w:rPr>
            </w:pPr>
          </w:p>
        </w:tc>
        <w:tc>
          <w:tcPr>
            <w:tcW w:w="4590" w:type="dxa"/>
          </w:tcPr>
          <w:p w14:paraId="19B656BA" w14:textId="77777777" w:rsidR="00DA1BB5" w:rsidRDefault="00DA1BB5" w:rsidP="00DA1BB5">
            <w:pPr>
              <w:ind w:left="72"/>
              <w:rPr>
                <w:rFonts w:asciiTheme="majorHAnsi" w:hAnsiTheme="majorHAnsi"/>
                <w:sz w:val="22"/>
                <w:szCs w:val="22"/>
              </w:rPr>
            </w:pPr>
          </w:p>
          <w:p w14:paraId="0329E56E" w14:textId="77777777" w:rsidR="00AB2136" w:rsidRPr="00DA1BB5" w:rsidRDefault="00AB2136" w:rsidP="00DA1BB5">
            <w:pPr>
              <w:ind w:left="72"/>
              <w:rPr>
                <w:rFonts w:asciiTheme="majorHAnsi" w:hAnsiTheme="majorHAnsi"/>
                <w:sz w:val="22"/>
                <w:szCs w:val="22"/>
              </w:rPr>
            </w:pPr>
          </w:p>
          <w:p w14:paraId="795367DA"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critically choose and implement interventions to achieve practice goals and enhance capacities of clients and constituencies;</w:t>
            </w:r>
          </w:p>
          <w:p w14:paraId="0FC40D90"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apply knowledge of human behavior and the social environment, person-in-environment, and other multidisciplinary theoretical frameworks in interventions with clients and constituencies;</w:t>
            </w:r>
          </w:p>
          <w:p w14:paraId="6F48FEFD"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use inter-professional collaboration as appropriate to achieve beneficial practice outcomes;</w:t>
            </w:r>
          </w:p>
          <w:p w14:paraId="5E6B1A28" w14:textId="77777777" w:rsidR="00DA1BB5" w:rsidRPr="00DA1BB5" w:rsidRDefault="00DA1BB5" w:rsidP="00DA1BB5">
            <w:pPr>
              <w:widowControl/>
              <w:numPr>
                <w:ilvl w:val="0"/>
                <w:numId w:val="1"/>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negotiate, mediate, and advocate with and on behalf of diverse clients and constituencies; and</w:t>
            </w:r>
          </w:p>
          <w:p w14:paraId="4DD76040" w14:textId="77777777" w:rsidR="00DA1BB5" w:rsidRPr="00DA1BB5" w:rsidRDefault="00DA1BB5" w:rsidP="00DA1BB5">
            <w:pPr>
              <w:widowControl/>
              <w:numPr>
                <w:ilvl w:val="0"/>
                <w:numId w:val="1"/>
              </w:numPr>
              <w:rPr>
                <w:rFonts w:asciiTheme="majorHAnsi" w:hAnsiTheme="majorHAnsi"/>
                <w:sz w:val="22"/>
                <w:szCs w:val="22"/>
              </w:rPr>
            </w:pPr>
            <w:r w:rsidRPr="00DA1BB5">
              <w:rPr>
                <w:rFonts w:asciiTheme="majorHAnsi" w:hAnsiTheme="majorHAnsi"/>
                <w:snapToGrid/>
                <w:sz w:val="22"/>
                <w:szCs w:val="22"/>
              </w:rPr>
              <w:t>facilitate effective transitions and endings that advance mutually agreed-on goals.</w:t>
            </w:r>
          </w:p>
        </w:tc>
      </w:tr>
      <w:tr w:rsidR="00DA1BB5" w:rsidRPr="00DA1BB5" w14:paraId="6D827E98" w14:textId="77777777" w:rsidTr="00DA1BB5">
        <w:tc>
          <w:tcPr>
            <w:tcW w:w="5130" w:type="dxa"/>
          </w:tcPr>
          <w:p w14:paraId="05F7DC8B" w14:textId="77777777" w:rsidR="00DA1BB5" w:rsidRPr="00DA1BB5" w:rsidRDefault="00DA1BB5" w:rsidP="00DA1BB5">
            <w:pPr>
              <w:widowControl/>
              <w:numPr>
                <w:ilvl w:val="0"/>
                <w:numId w:val="2"/>
              </w:numPr>
              <w:ind w:hanging="720"/>
              <w:rPr>
                <w:rFonts w:asciiTheme="majorHAnsi" w:hAnsiTheme="majorHAnsi"/>
                <w:b/>
                <w:sz w:val="22"/>
                <w:szCs w:val="22"/>
              </w:rPr>
            </w:pPr>
            <w:r w:rsidRPr="00DA1BB5">
              <w:rPr>
                <w:rFonts w:asciiTheme="majorHAnsi" w:hAnsiTheme="majorHAnsi"/>
                <w:b/>
                <w:sz w:val="22"/>
                <w:szCs w:val="22"/>
              </w:rPr>
              <w:t>Evaluate Practice with Individuals, Families, Groups, Organizations, and Communities</w:t>
            </w:r>
          </w:p>
          <w:p w14:paraId="10D462AB" w14:textId="77777777" w:rsidR="00DA1BB5" w:rsidRPr="00AB2136" w:rsidRDefault="00DA1BB5" w:rsidP="00AB2136">
            <w:pPr>
              <w:widowControl/>
              <w:spacing w:before="100" w:beforeAutospacing="1" w:after="100" w:afterAutospacing="1"/>
              <w:ind w:left="360"/>
              <w:rPr>
                <w:rFonts w:asciiTheme="majorHAnsi" w:hAnsiTheme="majorHAnsi"/>
                <w:snapToGrid/>
                <w:sz w:val="22"/>
                <w:szCs w:val="22"/>
              </w:rPr>
            </w:pPr>
            <w:r w:rsidRPr="00DA1BB5">
              <w:rPr>
                <w:rFonts w:asciiTheme="majorHAnsi" w:hAnsiTheme="majorHAnsi"/>
                <w:snapToGrid/>
                <w:sz w:val="22"/>
                <w:szCs w:val="22"/>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4590" w:type="dxa"/>
          </w:tcPr>
          <w:p w14:paraId="3ED9E701" w14:textId="77777777" w:rsidR="00DA1BB5" w:rsidRPr="00DA1BB5" w:rsidRDefault="00DA1BB5" w:rsidP="00DA1BB5">
            <w:pPr>
              <w:ind w:left="72"/>
              <w:rPr>
                <w:rFonts w:asciiTheme="majorHAnsi" w:hAnsiTheme="majorHAnsi"/>
                <w:sz w:val="22"/>
                <w:szCs w:val="22"/>
              </w:rPr>
            </w:pPr>
          </w:p>
          <w:p w14:paraId="487FE3A2" w14:textId="77777777" w:rsidR="00DA1BB5" w:rsidRPr="00DA1BB5" w:rsidRDefault="00DA1BB5" w:rsidP="00DA1BB5">
            <w:pPr>
              <w:widowControl/>
              <w:numPr>
                <w:ilvl w:val="0"/>
                <w:numId w:val="6"/>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select and use appropriate methods for evaluation of outcomes;</w:t>
            </w:r>
          </w:p>
          <w:p w14:paraId="6D4CA89F" w14:textId="77777777" w:rsidR="00DA1BB5" w:rsidRPr="00DA1BB5" w:rsidRDefault="00DA1BB5" w:rsidP="00DA1BB5">
            <w:pPr>
              <w:widowControl/>
              <w:numPr>
                <w:ilvl w:val="0"/>
                <w:numId w:val="6"/>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apply knowledge of human behavior and the social environment, person-in-environment, and other multidisciplinary theoretical frameworks in the evaluation of outcomes;</w:t>
            </w:r>
          </w:p>
          <w:p w14:paraId="30EDD5BF" w14:textId="77777777" w:rsidR="00DA1BB5" w:rsidRPr="00DA1BB5" w:rsidRDefault="00DA1BB5" w:rsidP="00DA1BB5">
            <w:pPr>
              <w:widowControl/>
              <w:numPr>
                <w:ilvl w:val="0"/>
                <w:numId w:val="6"/>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critically analyze, monitor, and evaluate intervention and program processes and outcomes; and</w:t>
            </w:r>
          </w:p>
          <w:p w14:paraId="2F2DCF23" w14:textId="77777777" w:rsidR="00DA1BB5" w:rsidRPr="00DA1BB5" w:rsidRDefault="00DA1BB5" w:rsidP="00DA1BB5">
            <w:pPr>
              <w:widowControl/>
              <w:numPr>
                <w:ilvl w:val="0"/>
                <w:numId w:val="6"/>
              </w:numPr>
              <w:spacing w:before="100" w:beforeAutospacing="1" w:after="100" w:afterAutospacing="1"/>
              <w:rPr>
                <w:rFonts w:asciiTheme="majorHAnsi" w:hAnsiTheme="majorHAnsi"/>
                <w:snapToGrid/>
                <w:sz w:val="22"/>
                <w:szCs w:val="22"/>
              </w:rPr>
            </w:pPr>
            <w:r w:rsidRPr="00DA1BB5">
              <w:rPr>
                <w:rFonts w:asciiTheme="majorHAnsi" w:hAnsiTheme="majorHAnsi"/>
                <w:snapToGrid/>
                <w:sz w:val="22"/>
                <w:szCs w:val="22"/>
              </w:rPr>
              <w:t>apply evaluation findings to improve practice effectiveness at the micro, mezzo, and macro levels.</w:t>
            </w:r>
          </w:p>
          <w:p w14:paraId="0B7047E3" w14:textId="77777777" w:rsidR="00DA1BB5" w:rsidRPr="00DA1BB5" w:rsidRDefault="00DA1BB5" w:rsidP="00DA1BB5">
            <w:pPr>
              <w:rPr>
                <w:rFonts w:asciiTheme="majorHAnsi" w:hAnsiTheme="majorHAnsi"/>
                <w:sz w:val="22"/>
                <w:szCs w:val="22"/>
              </w:rPr>
            </w:pPr>
          </w:p>
        </w:tc>
      </w:tr>
    </w:tbl>
    <w:p w14:paraId="423F70B9" w14:textId="77777777" w:rsidR="003543E4" w:rsidRPr="00DA1BB5" w:rsidRDefault="003543E4" w:rsidP="00AB2136">
      <w:pPr>
        <w:rPr>
          <w:rFonts w:asciiTheme="majorHAnsi" w:hAnsiTheme="majorHAnsi"/>
        </w:rPr>
      </w:pPr>
    </w:p>
    <w:sectPr w:rsidR="003543E4" w:rsidRPr="00DA1BB5" w:rsidSect="00DA1BB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718D3" w14:textId="77777777" w:rsidR="00322186" w:rsidRDefault="00322186" w:rsidP="00DA1BB5">
      <w:r>
        <w:separator/>
      </w:r>
    </w:p>
  </w:endnote>
  <w:endnote w:type="continuationSeparator" w:id="0">
    <w:p w14:paraId="1B5765B8" w14:textId="77777777" w:rsidR="00322186" w:rsidRDefault="00322186" w:rsidP="00DA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9854" w14:textId="77777777" w:rsidR="00322186" w:rsidRDefault="00322186" w:rsidP="00096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3FA6C8" w14:textId="77777777" w:rsidR="00322186" w:rsidRDefault="003221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B3EA" w14:textId="77777777" w:rsidR="00322186" w:rsidRDefault="00322186" w:rsidP="00096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0CC">
      <w:rPr>
        <w:rStyle w:val="PageNumber"/>
        <w:noProof/>
      </w:rPr>
      <w:t>1</w:t>
    </w:r>
    <w:r>
      <w:rPr>
        <w:rStyle w:val="PageNumber"/>
      </w:rPr>
      <w:fldChar w:fldCharType="end"/>
    </w:r>
  </w:p>
  <w:p w14:paraId="7D22058D" w14:textId="77777777" w:rsidR="00322186" w:rsidRDefault="003221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44B71" w14:textId="77777777" w:rsidR="00322186" w:rsidRDefault="00322186" w:rsidP="00DA1BB5">
      <w:r>
        <w:separator/>
      </w:r>
    </w:p>
  </w:footnote>
  <w:footnote w:type="continuationSeparator" w:id="0">
    <w:p w14:paraId="78BF610C" w14:textId="77777777" w:rsidR="00322186" w:rsidRDefault="00322186" w:rsidP="00DA1B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82C"/>
    <w:multiLevelType w:val="hybridMultilevel"/>
    <w:tmpl w:val="CA800EB8"/>
    <w:lvl w:ilvl="0" w:tplc="74681C60">
      <w:start w:val="28"/>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1643B"/>
    <w:multiLevelType w:val="hybridMultilevel"/>
    <w:tmpl w:val="0B1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A0B63"/>
    <w:multiLevelType w:val="hybridMultilevel"/>
    <w:tmpl w:val="7C347B38"/>
    <w:lvl w:ilvl="0" w:tplc="98CAE432">
      <w:start w:val="1"/>
      <w:numFmt w:val="decimal"/>
      <w:lvlText w:val="%1."/>
      <w:lvlJc w:val="left"/>
      <w:pPr>
        <w:ind w:left="720" w:hanging="360"/>
      </w:pPr>
      <w:rPr>
        <w:b/>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979FA"/>
    <w:multiLevelType w:val="hybridMultilevel"/>
    <w:tmpl w:val="E272DC54"/>
    <w:lvl w:ilvl="0" w:tplc="83EA073C">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62F37"/>
    <w:multiLevelType w:val="hybridMultilevel"/>
    <w:tmpl w:val="CE02B934"/>
    <w:lvl w:ilvl="0" w:tplc="F768DD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83F24"/>
    <w:multiLevelType w:val="hybridMultilevel"/>
    <w:tmpl w:val="F796C81C"/>
    <w:lvl w:ilvl="0" w:tplc="4540271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B5"/>
    <w:rsid w:val="000968BB"/>
    <w:rsid w:val="00160C41"/>
    <w:rsid w:val="00322186"/>
    <w:rsid w:val="003543E4"/>
    <w:rsid w:val="005B2268"/>
    <w:rsid w:val="00AB2136"/>
    <w:rsid w:val="00B320CC"/>
    <w:rsid w:val="00DA1BB5"/>
    <w:rsid w:val="00E1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CB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B5"/>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B5"/>
    <w:pPr>
      <w:widowControl/>
      <w:ind w:left="720"/>
      <w:contextualSpacing/>
    </w:pPr>
    <w:rPr>
      <w:snapToGrid/>
      <w:szCs w:val="24"/>
    </w:rPr>
  </w:style>
  <w:style w:type="paragraph" w:styleId="Footer">
    <w:name w:val="footer"/>
    <w:basedOn w:val="Normal"/>
    <w:link w:val="FooterChar"/>
    <w:uiPriority w:val="99"/>
    <w:unhideWhenUsed/>
    <w:rsid w:val="00DA1BB5"/>
    <w:pPr>
      <w:tabs>
        <w:tab w:val="center" w:pos="4320"/>
        <w:tab w:val="right" w:pos="8640"/>
      </w:tabs>
    </w:pPr>
  </w:style>
  <w:style w:type="character" w:customStyle="1" w:styleId="FooterChar">
    <w:name w:val="Footer Char"/>
    <w:basedOn w:val="DefaultParagraphFont"/>
    <w:link w:val="Footer"/>
    <w:uiPriority w:val="99"/>
    <w:rsid w:val="00DA1BB5"/>
    <w:rPr>
      <w:rFonts w:ascii="Times New Roman" w:eastAsia="Times New Roman" w:hAnsi="Times New Roman" w:cs="Times New Roman"/>
      <w:snapToGrid w:val="0"/>
      <w:szCs w:val="20"/>
    </w:rPr>
  </w:style>
  <w:style w:type="character" w:styleId="PageNumber">
    <w:name w:val="page number"/>
    <w:basedOn w:val="DefaultParagraphFont"/>
    <w:uiPriority w:val="99"/>
    <w:semiHidden/>
    <w:unhideWhenUsed/>
    <w:rsid w:val="00DA1B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B5"/>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B5"/>
    <w:pPr>
      <w:widowControl/>
      <w:ind w:left="720"/>
      <w:contextualSpacing/>
    </w:pPr>
    <w:rPr>
      <w:snapToGrid/>
      <w:szCs w:val="24"/>
    </w:rPr>
  </w:style>
  <w:style w:type="paragraph" w:styleId="Footer">
    <w:name w:val="footer"/>
    <w:basedOn w:val="Normal"/>
    <w:link w:val="FooterChar"/>
    <w:uiPriority w:val="99"/>
    <w:unhideWhenUsed/>
    <w:rsid w:val="00DA1BB5"/>
    <w:pPr>
      <w:tabs>
        <w:tab w:val="center" w:pos="4320"/>
        <w:tab w:val="right" w:pos="8640"/>
      </w:tabs>
    </w:pPr>
  </w:style>
  <w:style w:type="character" w:customStyle="1" w:styleId="FooterChar">
    <w:name w:val="Footer Char"/>
    <w:basedOn w:val="DefaultParagraphFont"/>
    <w:link w:val="Footer"/>
    <w:uiPriority w:val="99"/>
    <w:rsid w:val="00DA1BB5"/>
    <w:rPr>
      <w:rFonts w:ascii="Times New Roman" w:eastAsia="Times New Roman" w:hAnsi="Times New Roman" w:cs="Times New Roman"/>
      <w:snapToGrid w:val="0"/>
      <w:szCs w:val="20"/>
    </w:rPr>
  </w:style>
  <w:style w:type="character" w:styleId="PageNumber">
    <w:name w:val="page number"/>
    <w:basedOn w:val="DefaultParagraphFont"/>
    <w:uiPriority w:val="99"/>
    <w:semiHidden/>
    <w:unhideWhenUsed/>
    <w:rsid w:val="00DA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B9D4-5A99-4341-9078-61B0C723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2000</Words>
  <Characters>10824</Characters>
  <Application>Microsoft Macintosh Word</Application>
  <DocSecurity>0</DocSecurity>
  <Lines>196</Lines>
  <Paragraphs>67</Paragraphs>
  <ScaleCrop>false</ScaleCrop>
  <Company>UNIVERSITY OF NORTH TEXAS</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Sweeten</dc:creator>
  <cp:keywords/>
  <dc:description/>
  <cp:lastModifiedBy>Brenda Sweeten</cp:lastModifiedBy>
  <cp:revision>6</cp:revision>
  <cp:lastPrinted>2016-08-05T16:21:00Z</cp:lastPrinted>
  <dcterms:created xsi:type="dcterms:W3CDTF">2016-07-15T20:11:00Z</dcterms:created>
  <dcterms:modified xsi:type="dcterms:W3CDTF">2016-08-23T19:18:00Z</dcterms:modified>
</cp:coreProperties>
</file>